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2EC2A" w14:textId="5946C4A6" w:rsidR="00CA1C4A" w:rsidRDefault="005012F7" w:rsidP="00CA1C4A">
      <w:pPr>
        <w:pStyle w:val="3GPPHeader"/>
        <w:spacing w:after="60"/>
        <w:rPr>
          <w:sz w:val="32"/>
          <w:szCs w:val="32"/>
          <w:highlight w:val="yellow"/>
        </w:rPr>
      </w:pPr>
      <w:r>
        <w:t>3GPP TSG-RAN WG2</w:t>
      </w:r>
      <w:r w:rsidR="00CA1C4A">
        <w:t>#99</w:t>
      </w:r>
      <w:r w:rsidR="00CA1C4A">
        <w:tab/>
      </w:r>
      <w:r w:rsidR="00E36751" w:rsidRPr="00E36751">
        <w:rPr>
          <w:sz w:val="28"/>
          <w:szCs w:val="32"/>
        </w:rPr>
        <w:t>R2-1708174</w:t>
      </w:r>
    </w:p>
    <w:p w14:paraId="763AE750" w14:textId="5B9E7355" w:rsidR="00CA1C4A" w:rsidRDefault="00CA1C4A" w:rsidP="00CA1C4A">
      <w:pPr>
        <w:pStyle w:val="3GPPHeader"/>
        <w:spacing w:after="60"/>
      </w:pPr>
      <w:r>
        <w:t>Berlin, Germany, 21</w:t>
      </w:r>
      <w:r>
        <w:rPr>
          <w:vertAlign w:val="superscript"/>
        </w:rPr>
        <w:t>st</w:t>
      </w:r>
      <w:r>
        <w:t xml:space="preserve"> – 25</w:t>
      </w:r>
      <w:r>
        <w:rPr>
          <w:vertAlign w:val="superscript"/>
        </w:rPr>
        <w:t>th</w:t>
      </w:r>
      <w:r>
        <w:t xml:space="preserve"> August 2017</w:t>
      </w:r>
      <w:r>
        <w:tab/>
        <w:t xml:space="preserve">(Resubmission of </w:t>
      </w:r>
      <w:r w:rsidRPr="00CA1C4A">
        <w:t>R2-1706513</w:t>
      </w:r>
      <w:r>
        <w:t>)</w:t>
      </w:r>
    </w:p>
    <w:p w14:paraId="3B3DE2EE" w14:textId="77777777" w:rsidR="00D06E22" w:rsidRPr="00CE0424" w:rsidRDefault="00D06E22" w:rsidP="00D06E22">
      <w:pPr>
        <w:pStyle w:val="3GPPHeader"/>
      </w:pPr>
    </w:p>
    <w:p w14:paraId="4A4F422A" w14:textId="6BCDEE85"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E36751" w:rsidRPr="00E36751">
        <w:rPr>
          <w:sz w:val="22"/>
          <w:szCs w:val="22"/>
          <w:lang w:val="en-US"/>
        </w:rPr>
        <w:t>10.4.2.4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As in LTE, UE can prioritise a frequency based on service. On the selected frequency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Some of the open issues related to the type of services that the agreements refer to. In this contribution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0" w:name="_Ref473901911"/>
      <w:r>
        <w:t>Discussion and proposals</w:t>
      </w:r>
      <w:bookmarkEnd w:id="0"/>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1" w:name="_Toc473909644"/>
      <w:bookmarkStart w:id="2" w:name="_Toc473909663"/>
      <w:bookmarkStart w:id="3" w:name="_Toc473909786"/>
      <w:bookmarkStart w:id="4" w:name="_Toc473937472"/>
      <w:bookmarkStart w:id="5" w:name="_Toc478149531"/>
      <w:bookmarkStart w:id="6" w:name="_Toc481597988"/>
      <w:bookmarkStart w:id="7" w:name="_Toc485417921"/>
      <w:bookmarkStart w:id="8" w:name="_Toc490261350"/>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1"/>
      <w:bookmarkEnd w:id="2"/>
      <w:bookmarkEnd w:id="3"/>
      <w:bookmarkEnd w:id="4"/>
      <w:bookmarkEnd w:id="5"/>
      <w:bookmarkEnd w:id="6"/>
      <w:bookmarkEnd w:id="7"/>
      <w:bookmarkEnd w:id="8"/>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9" w:name="_Toc473909635"/>
      <w:bookmarkStart w:id="10" w:name="_Toc473909697"/>
      <w:bookmarkStart w:id="11" w:name="_Toc473909732"/>
      <w:bookmarkStart w:id="12" w:name="_Toc473909775"/>
      <w:bookmarkStart w:id="13" w:name="_Toc473937469"/>
      <w:bookmarkStart w:id="14" w:name="_Toc478149535"/>
      <w:bookmarkStart w:id="15" w:name="_Toc481597992"/>
      <w:bookmarkStart w:id="16" w:name="_Toc485417919"/>
      <w:bookmarkStart w:id="17" w:name="_Toc490261348"/>
      <w:r>
        <w:t xml:space="preserve">No need to </w:t>
      </w:r>
      <w:r w:rsidR="00DD1C73">
        <w:t xml:space="preserve">broadcast service </w:t>
      </w:r>
      <w:r>
        <w:t xml:space="preserve">availability information to the UE for intra-frequency </w:t>
      </w:r>
      <w:r w:rsidR="00DD1C73">
        <w:t>cell re-</w:t>
      </w:r>
      <w:r>
        <w:t>selection.</w:t>
      </w:r>
      <w:bookmarkEnd w:id="9"/>
      <w:bookmarkEnd w:id="10"/>
      <w:bookmarkEnd w:id="11"/>
      <w:bookmarkEnd w:id="12"/>
      <w:bookmarkEnd w:id="13"/>
      <w:bookmarkEnd w:id="14"/>
      <w:bookmarkEnd w:id="15"/>
      <w:bookmarkEnd w:id="16"/>
      <w:bookmarkEnd w:id="17"/>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8" w:name="_Toc473909636"/>
      <w:bookmarkStart w:id="19"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8"/>
      <w:bookmarkEnd w:id="19"/>
    </w:p>
    <w:p w14:paraId="20393F25" w14:textId="362C667E" w:rsidR="00CB0CDA" w:rsidRPr="0074606A" w:rsidRDefault="008B2931" w:rsidP="0074606A">
      <w:pPr>
        <w:rPr>
          <w:bCs/>
        </w:rPr>
      </w:pPr>
      <w:bookmarkStart w:id="20" w:name="_Toc473909637"/>
      <w:bookmarkStart w:id="21"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20"/>
      <w:bookmarkEnd w:id="21"/>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IdleModeMobilityControlInfo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22" w:name="_Toc473909645"/>
      <w:bookmarkStart w:id="23" w:name="_Toc473909664"/>
      <w:bookmarkStart w:id="24" w:name="_Toc473909787"/>
      <w:bookmarkStart w:id="25" w:name="_Toc473937473"/>
      <w:bookmarkStart w:id="26" w:name="_Toc478149532"/>
      <w:bookmarkStart w:id="27" w:name="_Toc481597989"/>
      <w:bookmarkStart w:id="28" w:name="_Toc485417922"/>
      <w:bookmarkStart w:id="29" w:name="_Toc490261351"/>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22"/>
      <w:bookmarkEnd w:id="23"/>
      <w:bookmarkEnd w:id="24"/>
      <w:bookmarkEnd w:id="25"/>
      <w:bookmarkEnd w:id="26"/>
      <w:bookmarkEnd w:id="27"/>
      <w:bookmarkEnd w:id="28"/>
      <w:bookmarkEnd w:id="29"/>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30" w:name="_Toc473909638"/>
      <w:bookmarkStart w:id="31" w:name="_Toc473909700"/>
      <w:bookmarkStart w:id="32" w:name="_Toc473909733"/>
      <w:r w:rsidRPr="00572E9A">
        <w:rPr>
          <w:bCs/>
        </w:rPr>
        <w:t xml:space="preserve">As can be seen by previous section it is possible to </w:t>
      </w:r>
      <w:r w:rsidR="00116830" w:rsidRPr="00572E9A">
        <w:rPr>
          <w:bCs/>
        </w:rPr>
        <w:t xml:space="preserve">minimize the amount of service availability information </w:t>
      </w:r>
      <w:r w:rsidRPr="00572E9A">
        <w:rPr>
          <w:bCs/>
        </w:rPr>
        <w:t>the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30"/>
      <w:bookmarkEnd w:id="31"/>
      <w:bookmarkEnd w:id="32"/>
    </w:p>
    <w:p w14:paraId="1C1955C5" w14:textId="27D165AE" w:rsidR="00584075" w:rsidRPr="000126C2" w:rsidRDefault="00584075" w:rsidP="00572E9A">
      <w:pPr>
        <w:pStyle w:val="ListParagraph"/>
        <w:numPr>
          <w:ilvl w:val="0"/>
          <w:numId w:val="25"/>
        </w:numPr>
        <w:rPr>
          <w:rFonts w:ascii="Arial" w:hAnsi="Arial" w:cs="Arial"/>
          <w:bCs/>
          <w:sz w:val="20"/>
        </w:rPr>
      </w:pPr>
      <w:bookmarkStart w:id="33" w:name="_Toc473909639"/>
      <w:bookmarkStart w:id="34" w:name="_Toc473909701"/>
      <w:bookmarkStart w:id="35" w:name="_Toc473909734"/>
      <w:r w:rsidRPr="000126C2">
        <w:rPr>
          <w:rFonts w:ascii="Arial" w:hAnsi="Arial" w:cs="Arial"/>
          <w:bCs/>
          <w:sz w:val="20"/>
        </w:rPr>
        <w:t xml:space="preserve">It reduces broadcast overhead or signalling, especially </w:t>
      </w:r>
      <w:r w:rsidR="00CB62FF" w:rsidRPr="000126C2">
        <w:rPr>
          <w:rFonts w:ascii="Arial" w:hAnsi="Arial" w:cs="Arial"/>
          <w:bCs/>
          <w:sz w:val="20"/>
        </w:rPr>
        <w:t>when the number of services increases</w:t>
      </w:r>
      <w:bookmarkEnd w:id="33"/>
      <w:bookmarkEnd w:id="34"/>
      <w:bookmarkEnd w:id="35"/>
    </w:p>
    <w:p w14:paraId="2445FCE7" w14:textId="4175B2C4" w:rsidR="00584075" w:rsidRPr="000126C2" w:rsidRDefault="00584075" w:rsidP="00572E9A">
      <w:pPr>
        <w:pStyle w:val="ListParagraph"/>
        <w:numPr>
          <w:ilvl w:val="0"/>
          <w:numId w:val="25"/>
        </w:numPr>
        <w:rPr>
          <w:rFonts w:ascii="Arial" w:hAnsi="Arial" w:cs="Arial"/>
          <w:bCs/>
          <w:sz w:val="20"/>
        </w:rPr>
      </w:pPr>
      <w:bookmarkStart w:id="36" w:name="_Toc473909640"/>
      <w:bookmarkStart w:id="37" w:name="_Toc473909702"/>
      <w:bookmarkStart w:id="38"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6"/>
      <w:bookmarkEnd w:id="37"/>
      <w:bookmarkEnd w:id="38"/>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39" w:name="_Toc473909646"/>
      <w:bookmarkStart w:id="40" w:name="_Toc473909665"/>
      <w:bookmarkStart w:id="41" w:name="_Toc473909788"/>
      <w:bookmarkStart w:id="42" w:name="_Toc473937474"/>
      <w:bookmarkStart w:id="43" w:name="_Toc478149533"/>
      <w:bookmarkStart w:id="44" w:name="_Toc481597990"/>
      <w:bookmarkStart w:id="45" w:name="_Toc485417923"/>
      <w:bookmarkStart w:id="46" w:name="_Toc490261352"/>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39"/>
      <w:bookmarkEnd w:id="40"/>
      <w:bookmarkEnd w:id="41"/>
      <w:bookmarkEnd w:id="42"/>
      <w:bookmarkEnd w:id="43"/>
      <w:bookmarkEnd w:id="44"/>
      <w:bookmarkEnd w:id="45"/>
      <w:bookmarkEnd w:id="46"/>
    </w:p>
    <w:p w14:paraId="1397E018" w14:textId="7645A35C" w:rsidR="00584075" w:rsidRDefault="00584075" w:rsidP="00584075">
      <w:pPr>
        <w:pStyle w:val="Proposal"/>
      </w:pPr>
      <w:bookmarkStart w:id="47" w:name="_Toc473909647"/>
      <w:bookmarkStart w:id="48" w:name="_Toc473909666"/>
      <w:bookmarkStart w:id="49" w:name="_Toc473909789"/>
      <w:bookmarkStart w:id="50" w:name="_Toc473937475"/>
      <w:bookmarkStart w:id="51" w:name="_Toc478149534"/>
      <w:bookmarkStart w:id="52" w:name="_Toc481597991"/>
      <w:bookmarkStart w:id="53" w:name="_Toc485417924"/>
      <w:bookmarkStart w:id="54" w:name="_Toc490261353"/>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7"/>
      <w:bookmarkEnd w:id="48"/>
      <w:bookmarkEnd w:id="49"/>
      <w:bookmarkEnd w:id="50"/>
      <w:bookmarkEnd w:id="51"/>
      <w:bookmarkEnd w:id="52"/>
      <w:bookmarkEnd w:id="53"/>
      <w:bookmarkEnd w:id="54"/>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481EE170" w14:textId="77777777" w:rsidR="005012F7"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63BB4DFE" w14:textId="77777777" w:rsidR="005012F7" w:rsidRPr="005012F7" w:rsidRDefault="005012F7">
      <w:pPr>
        <w:pStyle w:val="TOC1"/>
        <w:rPr>
          <w:rFonts w:asciiTheme="minorHAnsi" w:eastAsiaTheme="minorEastAsia" w:hAnsiTheme="minorHAnsi" w:cstheme="minorBidi"/>
          <w:b w:val="0"/>
          <w:sz w:val="22"/>
          <w:lang w:eastAsia="sv-SE"/>
        </w:rPr>
      </w:pPr>
      <w:r>
        <w:t>Proposal 1</w:t>
      </w:r>
      <w:r w:rsidRPr="005012F7">
        <w:rPr>
          <w:rFonts w:asciiTheme="minorHAnsi" w:eastAsiaTheme="minorEastAsia" w:hAnsiTheme="minorHAnsi" w:cstheme="minorBidi"/>
          <w:b w:val="0"/>
          <w:sz w:val="22"/>
          <w:lang w:eastAsia="sv-SE"/>
        </w:rPr>
        <w:tab/>
      </w:r>
      <w:r>
        <w:t>It is assumed the UE should follow the same PLMN selection principles as in LTE. RAT/frequency selection based on service availability can be handled after the PLMN selection.</w:t>
      </w:r>
    </w:p>
    <w:p w14:paraId="23ABEDFB" w14:textId="77777777" w:rsidR="005012F7" w:rsidRPr="005012F7" w:rsidRDefault="005012F7">
      <w:pPr>
        <w:pStyle w:val="TOC1"/>
        <w:rPr>
          <w:rFonts w:asciiTheme="minorHAnsi" w:eastAsiaTheme="minorEastAsia" w:hAnsiTheme="minorHAnsi" w:cstheme="minorBidi"/>
          <w:b w:val="0"/>
          <w:sz w:val="22"/>
          <w:lang w:eastAsia="sv-SE"/>
        </w:rPr>
      </w:pPr>
      <w:r>
        <w:t>Proposal 2</w:t>
      </w:r>
      <w:r w:rsidRPr="005012F7">
        <w:rPr>
          <w:rFonts w:asciiTheme="minorHAnsi" w:eastAsiaTheme="minorEastAsia" w:hAnsiTheme="minorHAnsi" w:cstheme="minorBidi"/>
          <w:b w:val="0"/>
          <w:sz w:val="22"/>
          <w:lang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15D56E75" w14:textId="77777777" w:rsidR="005012F7" w:rsidRPr="005012F7" w:rsidRDefault="005012F7">
      <w:pPr>
        <w:pStyle w:val="TOC1"/>
        <w:rPr>
          <w:rFonts w:asciiTheme="minorHAnsi" w:eastAsiaTheme="minorEastAsia" w:hAnsiTheme="minorHAnsi" w:cstheme="minorBidi"/>
          <w:b w:val="0"/>
          <w:sz w:val="22"/>
          <w:lang w:eastAsia="sv-SE"/>
        </w:rPr>
      </w:pPr>
      <w:r>
        <w:t>Proposal 3</w:t>
      </w:r>
      <w:r w:rsidRPr="005012F7">
        <w:rPr>
          <w:rFonts w:asciiTheme="minorHAnsi" w:eastAsiaTheme="minorEastAsia" w:hAnsiTheme="minorHAnsi" w:cstheme="minorBidi"/>
          <w:b w:val="0"/>
          <w:sz w:val="22"/>
          <w:lang w:eastAsia="sv-SE"/>
        </w:rPr>
        <w:tab/>
      </w:r>
      <w:r>
        <w:t>Service availability per frequency or RAT should, to as large extent as possible, be handled by the network without the need for the UE to be aware of it.</w:t>
      </w:r>
    </w:p>
    <w:p w14:paraId="37FB41CA" w14:textId="77777777" w:rsidR="005012F7" w:rsidRPr="005012F7" w:rsidRDefault="005012F7">
      <w:pPr>
        <w:pStyle w:val="TOC1"/>
        <w:rPr>
          <w:rFonts w:asciiTheme="minorHAnsi" w:eastAsiaTheme="minorEastAsia" w:hAnsiTheme="minorHAnsi" w:cstheme="minorBidi"/>
          <w:b w:val="0"/>
          <w:sz w:val="22"/>
          <w:lang w:eastAsia="sv-SE"/>
        </w:rPr>
      </w:pPr>
      <w:r>
        <w:t>Proposal 4</w:t>
      </w:r>
      <w:r w:rsidRPr="005012F7">
        <w:rPr>
          <w:rFonts w:asciiTheme="minorHAnsi" w:eastAsiaTheme="minorEastAsia" w:hAnsiTheme="minorHAnsi" w:cstheme="minorBidi"/>
          <w:b w:val="0"/>
          <w:sz w:val="22"/>
          <w:lang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bookmarkStart w:id="55" w:name="_GoBack"/>
      <w:bookmarkEnd w:id="55"/>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01E73" w14:textId="77777777" w:rsidR="002166AD" w:rsidRDefault="002166AD">
      <w:r>
        <w:separator/>
      </w:r>
    </w:p>
  </w:endnote>
  <w:endnote w:type="continuationSeparator" w:id="0">
    <w:p w14:paraId="368F426A" w14:textId="77777777" w:rsidR="002166AD" w:rsidRDefault="002166AD">
      <w:r>
        <w:continuationSeparator/>
      </w:r>
    </w:p>
  </w:endnote>
  <w:endnote w:type="continuationNotice" w:id="1">
    <w:p w14:paraId="117EDC4F" w14:textId="77777777" w:rsidR="002166AD" w:rsidRDefault="0021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300CDC9"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12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2F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42390" w14:textId="77777777" w:rsidR="002166AD" w:rsidRDefault="002166AD">
      <w:r>
        <w:separator/>
      </w:r>
    </w:p>
  </w:footnote>
  <w:footnote w:type="continuationSeparator" w:id="0">
    <w:p w14:paraId="6D4A8FEB" w14:textId="77777777" w:rsidR="002166AD" w:rsidRDefault="002166AD">
      <w:r>
        <w:continuationSeparator/>
      </w:r>
    </w:p>
  </w:footnote>
  <w:footnote w:type="continuationNotice" w:id="1">
    <w:p w14:paraId="2D0E3C42" w14:textId="77777777" w:rsidR="002166AD" w:rsidRDefault="0021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84075" w:rsidRDefault="005840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5NUHHDQN7SK2-1-179624</_dlc_DocId>
    <_dlc_DocIdUrl xmlns="08b2df90-05d3-4030-90d4-c9feeb4a1cd9">
      <Url>https://ericoll.internal.ericsson.com/sites/star/_layouts/DocIdRedir.aspx?ID=5NUHHDQN7SK2-1-179624</Url>
      <Description>5NUHHDQN7SK2-1-179624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76B65A-8644-4CF0-B039-1EE07D5D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1013</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2</cp:revision>
  <cp:lastPrinted>2008-01-31T06:09:00Z</cp:lastPrinted>
  <dcterms:created xsi:type="dcterms:W3CDTF">2017-08-11T22:33:00Z</dcterms:created>
  <dcterms:modified xsi:type="dcterms:W3CDTF">2017-08-11T22:33:00Z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43fe2808-834c-4c0e-aa0c-ee22db86a506</vt:lpwstr>
  </property>
</Properties>
</file>